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01.600341796875"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w:t>
      </w:r>
      <w:r w:rsidDel="00000000" w:rsidR="00000000" w:rsidRPr="00000000">
        <w:rPr>
          <w:rFonts w:ascii="Times New Roman" w:cs="Times New Roman" w:eastAsia="Times New Roman" w:hAnsi="Times New Roman"/>
          <w:sz w:val="20"/>
          <w:szCs w:val="20"/>
          <w:rtl w:val="0"/>
        </w:rPr>
        <w:t xml:space="preserve"> Westford Families: </w:t>
      </w:r>
    </w:p>
    <w:p w:rsidR="00000000" w:rsidDel="00000000" w:rsidP="00000000" w:rsidRDefault="00000000" w:rsidRPr="00000000" w14:paraId="00000002">
      <w:pPr>
        <w:widowControl w:val="0"/>
        <w:spacing w:before="201.600341796875" w:lineRule="auto"/>
        <w:ind w:left="0" w:firstLine="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Westford Public Schools value global learning and seek to honor the linguistic diversity of members within our community. We are highly appreciative of the dedication of our students and the commitment they have demonstrated or will demonstrate over an extended period of time to learn languages in school, as well as to maintain languages spoken at home. To recognize the importance of multiculturalism and multilingualism, the Westford Public Schools are proud to participate in the </w:t>
      </w:r>
      <w:r w:rsidDel="00000000" w:rsidR="00000000" w:rsidRPr="00000000">
        <w:rPr>
          <w:rFonts w:ascii="Times New Roman" w:cs="Times New Roman" w:eastAsia="Times New Roman" w:hAnsi="Times New Roman"/>
          <w:i w:val="1"/>
          <w:sz w:val="20"/>
          <w:szCs w:val="20"/>
          <w:rtl w:val="0"/>
        </w:rPr>
        <w:t xml:space="preserve">Massachusetts State Seal of Biliteracy </w:t>
      </w:r>
      <w:r w:rsidDel="00000000" w:rsidR="00000000" w:rsidRPr="00000000">
        <w:rPr>
          <w:rFonts w:ascii="Times New Roman" w:cs="Times New Roman" w:eastAsia="Times New Roman" w:hAnsi="Times New Roman"/>
          <w:sz w:val="20"/>
          <w:szCs w:val="20"/>
          <w:rtl w:val="0"/>
        </w:rPr>
        <w:t xml:space="preserve">program .</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003">
      <w:pPr>
        <w:widowControl w:val="0"/>
        <w:spacing w:before="201.6796875" w:line="239.9040126800537" w:lineRule="auto"/>
        <w:ind w:left="9.599990844726562" w:right="691.387939453125" w:firstLine="2.000045776367187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w:t>
      </w:r>
      <w:r w:rsidDel="00000000" w:rsidR="00000000" w:rsidRPr="00000000">
        <w:rPr>
          <w:rFonts w:ascii="Times New Roman" w:cs="Times New Roman" w:eastAsia="Times New Roman" w:hAnsi="Times New Roman"/>
          <w:b w:val="1"/>
          <w:sz w:val="20"/>
          <w:szCs w:val="20"/>
          <w:rtl w:val="0"/>
        </w:rPr>
        <w:t xml:space="preserve">future </w:t>
      </w:r>
      <w:r w:rsidDel="00000000" w:rsidR="00000000" w:rsidRPr="00000000">
        <w:rPr>
          <w:rFonts w:ascii="Times New Roman" w:cs="Times New Roman" w:eastAsia="Times New Roman" w:hAnsi="Times New Roman"/>
          <w:sz w:val="20"/>
          <w:szCs w:val="20"/>
          <w:rtl w:val="0"/>
        </w:rPr>
        <w:t xml:space="preserve">opportunity, the State Seal of Biliteracy will be awarded to </w:t>
      </w:r>
      <w:r w:rsidDel="00000000" w:rsidR="00000000" w:rsidRPr="00000000">
        <w:rPr>
          <w:rFonts w:ascii="Times New Roman" w:cs="Times New Roman" w:eastAsia="Times New Roman" w:hAnsi="Times New Roman"/>
          <w:b w:val="1"/>
          <w:sz w:val="20"/>
          <w:szCs w:val="20"/>
          <w:rtl w:val="0"/>
        </w:rPr>
        <w:t xml:space="preserve">high school seniors </w:t>
      </w:r>
      <w:r w:rsidDel="00000000" w:rsidR="00000000" w:rsidRPr="00000000">
        <w:rPr>
          <w:rFonts w:ascii="Times New Roman" w:cs="Times New Roman" w:eastAsia="Times New Roman" w:hAnsi="Times New Roman"/>
          <w:sz w:val="20"/>
          <w:szCs w:val="20"/>
          <w:rtl w:val="0"/>
        </w:rPr>
        <w:t xml:space="preserve">who are able to demonstrate proficiency and literacy</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sz w:val="16"/>
          <w:szCs w:val="16"/>
          <w:vertAlign w:val="superscript"/>
          <w:rtl w:val="0"/>
        </w:rPr>
        <w:t xml:space="preserve">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Times New Roman" w:cs="Times New Roman" w:eastAsia="Times New Roman" w:hAnsi="Times New Roman"/>
          <w:sz w:val="20"/>
          <w:szCs w:val="20"/>
          <w:rtl w:val="0"/>
        </w:rPr>
        <w:t xml:space="preserve"> in two or more languages, a partner language and English, as measured by state-approved assessments. Please note that the Seal of Biliteracy can be awarded in all languages and is not limited to languages taught in Westford. The program seeks to encourage students to maintain proficiency in their heritage languages, as well as to learn new languages. Many employers and universities recognize the value of the Seal, which encourages students to deepen their language skills and expand their cultural literacy in order to be better prepared to enter the workforce and contribute to our global society. </w:t>
      </w:r>
    </w:p>
    <w:p w:rsidR="00000000" w:rsidDel="00000000" w:rsidP="00000000" w:rsidRDefault="00000000" w:rsidRPr="00000000" w14:paraId="00000004">
      <w:pPr>
        <w:widowControl w:val="0"/>
        <w:spacing w:before="201.6802978515625" w:lineRule="auto"/>
        <w:ind w:left="15.9999847412109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chart outlines the eligibility requirements for the Massachusetts State Seal of Biliteracy program: </w:t>
      </w:r>
    </w:p>
    <w:tbl>
      <w:tblPr>
        <w:tblStyle w:val="Table1"/>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7020"/>
        <w:tblGridChange w:id="0">
          <w:tblGrid>
            <w:gridCol w:w="3120"/>
            <w:gridCol w:w="702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ind w:left="22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Pathway Award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ind w:left="221.6000366210937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Criteria for English and Partner Language</w:t>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Massachusetts State Seal of </w:t>
            </w:r>
          </w:p>
          <w:p w:rsidR="00000000" w:rsidDel="00000000" w:rsidP="00000000" w:rsidRDefault="00000000" w:rsidRPr="00000000" w14:paraId="00000008">
            <w:pPr>
              <w:widowControl w:val="0"/>
              <w:spacing w:before="6.5997314453125" w:lineRule="auto"/>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Biliteracy With Distinction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33.23998928070068" w:lineRule="auto"/>
              <w:ind w:left="123.81988525390625" w:right="112.31689453125" w:firstLine="2.5201416015625"/>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Score of </w:t>
            </w:r>
            <w:r w:rsidDel="00000000" w:rsidR="00000000" w:rsidRPr="00000000">
              <w:rPr>
                <w:rFonts w:ascii="Times New Roman" w:cs="Times New Roman" w:eastAsia="Times New Roman" w:hAnsi="Times New Roman"/>
                <w:i w:val="1"/>
                <w:sz w:val="18"/>
                <w:szCs w:val="18"/>
                <w:rtl w:val="0"/>
              </w:rPr>
              <w:t xml:space="preserve">Exceeding Expectations (a score of 501 and above </w:t>
            </w:r>
            <w:r w:rsidDel="00000000" w:rsidR="00000000" w:rsidRPr="00000000">
              <w:rPr>
                <w:rFonts w:ascii="Times New Roman" w:cs="Times New Roman" w:eastAsia="Times New Roman" w:hAnsi="Times New Roman"/>
                <w:sz w:val="18"/>
                <w:szCs w:val="18"/>
                <w:rtl w:val="0"/>
              </w:rPr>
              <w:t xml:space="preserve">on the grade 10 ELA MCAS (or a score on the ACCESS test which meets state exit criteria) </w:t>
            </w:r>
            <w:r w:rsidDel="00000000" w:rsidR="00000000" w:rsidRPr="00000000">
              <w:rPr>
                <w:rFonts w:ascii="Times New Roman" w:cs="Times New Roman" w:eastAsia="Times New Roman" w:hAnsi="Times New Roman"/>
                <w:b w:val="1"/>
                <w:sz w:val="18"/>
                <w:szCs w:val="18"/>
                <w:rtl w:val="0"/>
              </w:rPr>
              <w:t xml:space="preserve">AND </w:t>
            </w:r>
          </w:p>
          <w:p w:rsidR="00000000" w:rsidDel="00000000" w:rsidP="00000000" w:rsidRDefault="00000000" w:rsidRPr="00000000" w14:paraId="0000000A">
            <w:pPr>
              <w:widowControl w:val="0"/>
              <w:spacing w:before="5.009765625" w:line="233.23998928070068" w:lineRule="auto"/>
              <w:ind w:left="121.4801025390625" w:right="253.9208984375" w:firstLine="4.8599243164062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Scores of </w:t>
            </w:r>
            <w:r w:rsidDel="00000000" w:rsidR="00000000" w:rsidRPr="00000000">
              <w:rPr>
                <w:rFonts w:ascii="Times New Roman" w:cs="Times New Roman" w:eastAsia="Times New Roman" w:hAnsi="Times New Roman"/>
                <w:i w:val="1"/>
                <w:color w:val="1155cc"/>
                <w:sz w:val="18"/>
                <w:szCs w:val="18"/>
                <w:rtl w:val="0"/>
              </w:rPr>
              <w:t xml:space="preserve">Advanced - Low </w:t>
            </w:r>
            <w:r w:rsidDel="00000000" w:rsidR="00000000" w:rsidRPr="00000000">
              <w:rPr>
                <w:rFonts w:ascii="Times New Roman" w:cs="Times New Roman" w:eastAsia="Times New Roman" w:hAnsi="Times New Roman"/>
                <w:sz w:val="18"/>
                <w:szCs w:val="18"/>
                <w:rtl w:val="0"/>
              </w:rPr>
              <w:t xml:space="preserve">in all domains/modes of a proficiency test or other approved alternative assessment (dependent on partner language).</w:t>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Massachusetts State Seal of </w:t>
            </w:r>
          </w:p>
          <w:p w:rsidR="00000000" w:rsidDel="00000000" w:rsidP="00000000" w:rsidRDefault="00000000" w:rsidRPr="00000000" w14:paraId="0000000C">
            <w:pPr>
              <w:widowControl w:val="0"/>
              <w:spacing w:before="6.5997314453125" w:lineRule="auto"/>
              <w:ind w:left="118.3999633789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33.23998928070068" w:lineRule="auto"/>
              <w:ind w:left="123.81988525390625" w:right="376.956787109375" w:firstLine="2.5201416015625"/>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Score of </w:t>
            </w:r>
            <w:r w:rsidDel="00000000" w:rsidR="00000000" w:rsidRPr="00000000">
              <w:rPr>
                <w:rFonts w:ascii="Times New Roman" w:cs="Times New Roman" w:eastAsia="Times New Roman" w:hAnsi="Times New Roman"/>
                <w:i w:val="1"/>
                <w:sz w:val="18"/>
                <w:szCs w:val="18"/>
                <w:rtl w:val="0"/>
              </w:rPr>
              <w:t xml:space="preserve">Meeting Expectations (minimum score of 472) </w:t>
            </w:r>
            <w:r w:rsidDel="00000000" w:rsidR="00000000" w:rsidRPr="00000000">
              <w:rPr>
                <w:rFonts w:ascii="Times New Roman" w:cs="Times New Roman" w:eastAsia="Times New Roman" w:hAnsi="Times New Roman"/>
                <w:sz w:val="18"/>
                <w:szCs w:val="18"/>
                <w:rtl w:val="0"/>
              </w:rPr>
              <w:t xml:space="preserve">on the grade 10 ELA MCAS (or a score on the ACCESS test which meets state exit criteria) </w:t>
            </w:r>
            <w:r w:rsidDel="00000000" w:rsidR="00000000" w:rsidRPr="00000000">
              <w:rPr>
                <w:rFonts w:ascii="Times New Roman" w:cs="Times New Roman" w:eastAsia="Times New Roman" w:hAnsi="Times New Roman"/>
                <w:b w:val="1"/>
                <w:sz w:val="18"/>
                <w:szCs w:val="18"/>
                <w:rtl w:val="0"/>
              </w:rPr>
              <w:t xml:space="preserve">AND </w:t>
            </w:r>
          </w:p>
          <w:p w:rsidR="00000000" w:rsidDel="00000000" w:rsidP="00000000" w:rsidRDefault="00000000" w:rsidRPr="00000000" w14:paraId="0000000E">
            <w:pPr>
              <w:widowControl w:val="0"/>
              <w:spacing w:before="5.009765625" w:line="233.23998928070068" w:lineRule="auto"/>
              <w:ind w:left="121.4801025390625" w:right="84.0283203125" w:firstLine="4.8599243164062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Scores of </w:t>
            </w:r>
            <w:r w:rsidDel="00000000" w:rsidR="00000000" w:rsidRPr="00000000">
              <w:rPr>
                <w:rFonts w:ascii="Times New Roman" w:cs="Times New Roman" w:eastAsia="Times New Roman" w:hAnsi="Times New Roman"/>
                <w:i w:val="1"/>
                <w:color w:val="1155cc"/>
                <w:sz w:val="18"/>
                <w:szCs w:val="18"/>
                <w:rtl w:val="0"/>
              </w:rPr>
              <w:t xml:space="preserve">Intermediate-High </w:t>
            </w:r>
            <w:r w:rsidDel="00000000" w:rsidR="00000000" w:rsidRPr="00000000">
              <w:rPr>
                <w:rFonts w:ascii="Times New Roman" w:cs="Times New Roman" w:eastAsia="Times New Roman" w:hAnsi="Times New Roman"/>
                <w:sz w:val="18"/>
                <w:szCs w:val="18"/>
                <w:rtl w:val="0"/>
              </w:rPr>
              <w:t xml:space="preserve">in all domains/modes of a proficiency test or other approved alternative assessment (dependent on partner language)</w:t>
            </w:r>
          </w:p>
        </w:tc>
      </w:tr>
    </w:tbl>
    <w:p w:rsidR="00000000" w:rsidDel="00000000" w:rsidP="00000000" w:rsidRDefault="00000000" w:rsidRPr="00000000" w14:paraId="0000000F">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widowControl w:val="0"/>
        <w:spacing w:line="239.9040126800537" w:lineRule="auto"/>
        <w:ind w:left="13.199996948242188" w:right="1111.546630859375" w:hanging="0.1999664306640625"/>
        <w:rPr>
          <w:rFonts w:ascii="Times New Roman" w:cs="Times New Roman" w:eastAsia="Times New Roman" w:hAnsi="Times New Roman"/>
          <w:color w:val="1155cc"/>
          <w:sz w:val="20"/>
          <w:szCs w:val="20"/>
        </w:rPr>
      </w:pPr>
      <w:r w:rsidDel="00000000" w:rsidR="00000000" w:rsidRPr="00000000">
        <w:rPr>
          <w:rFonts w:ascii="Times New Roman" w:cs="Times New Roman" w:eastAsia="Times New Roman" w:hAnsi="Times New Roman"/>
          <w:sz w:val="20"/>
          <w:szCs w:val="20"/>
          <w:rtl w:val="0"/>
        </w:rPr>
        <w:t xml:space="preserve">For more information, please see the </w:t>
      </w:r>
      <w:hyperlink r:id="rId6">
        <w:r w:rsidDel="00000000" w:rsidR="00000000" w:rsidRPr="00000000">
          <w:rPr>
            <w:rFonts w:ascii="Times New Roman" w:cs="Times New Roman" w:eastAsia="Times New Roman" w:hAnsi="Times New Roman"/>
            <w:color w:val="1155cc"/>
            <w:sz w:val="20"/>
            <w:szCs w:val="20"/>
            <w:u w:val="single"/>
            <w:rtl w:val="0"/>
          </w:rPr>
          <w:t xml:space="preserve">Seal of Biliteracy FAQ </w:t>
        </w:r>
      </w:hyperlink>
      <w:r w:rsidDel="00000000" w:rsidR="00000000" w:rsidRPr="00000000">
        <w:rPr>
          <w:rFonts w:ascii="Times New Roman" w:cs="Times New Roman" w:eastAsia="Times New Roman" w:hAnsi="Times New Roman"/>
          <w:sz w:val="20"/>
          <w:szCs w:val="20"/>
          <w:rtl w:val="0"/>
        </w:rPr>
        <w:t xml:space="preserve">sheet which may be found on the </w:t>
      </w:r>
      <w:hyperlink r:id="rId7">
        <w:r w:rsidDel="00000000" w:rsidR="00000000" w:rsidRPr="00000000">
          <w:rPr>
            <w:rFonts w:ascii="Times New Roman" w:cs="Times New Roman" w:eastAsia="Times New Roman" w:hAnsi="Times New Roman"/>
            <w:color w:val="1155cc"/>
            <w:sz w:val="20"/>
            <w:szCs w:val="20"/>
            <w:u w:val="single"/>
            <w:rtl w:val="0"/>
          </w:rPr>
          <w:t xml:space="preserve">World Language Department</w:t>
        </w:r>
      </w:hyperlink>
      <w:r w:rsidDel="00000000" w:rsidR="00000000" w:rsidRPr="00000000">
        <w:rPr>
          <w:rFonts w:ascii="Times New Roman" w:cs="Times New Roman" w:eastAsia="Times New Roman" w:hAnsi="Times New Roman"/>
          <w:color w:val="1155cc"/>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page of the Westford Academy website. Please contact Stephanie Grabowski-Devlin, World Language Curriculum Coordinator with questions: </w:t>
      </w:r>
      <w:r w:rsidDel="00000000" w:rsidR="00000000" w:rsidRPr="00000000">
        <w:rPr>
          <w:rFonts w:ascii="Times New Roman" w:cs="Times New Roman" w:eastAsia="Times New Roman" w:hAnsi="Times New Roman"/>
          <w:color w:val="1155cc"/>
          <w:sz w:val="20"/>
          <w:szCs w:val="20"/>
          <w:rtl w:val="0"/>
        </w:rPr>
        <w:t xml:space="preserve">sdevlin@westfordk12.us </w:t>
      </w:r>
    </w:p>
    <w:p w:rsidR="00000000" w:rsidDel="00000000" w:rsidP="00000000" w:rsidRDefault="00000000" w:rsidRPr="00000000" w14:paraId="00000011">
      <w:pPr>
        <w:widowControl w:val="0"/>
        <w:spacing w:before="201.67999267578125"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 </w:t>
      </w:r>
    </w:p>
    <w:p w:rsidR="00000000" w:rsidDel="00000000" w:rsidP="00000000" w:rsidRDefault="00000000" w:rsidRPr="00000000" w14:paraId="000000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Courtney Moran, </w:t>
        <w:tab/>
        <w:tab/>
        <w:tab/>
        <w:t xml:space="preserve">Magaly Ronan, Director of                    </w:t>
        <w:tab/>
        <w:t xml:space="preserve">Stephanie Grabowski-Devlin </w:t>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Assistant Superintendent</w:t>
        <w:tab/>
        <w:tab/>
        <w:t xml:space="preserve">Equity, Curriculum and Instruction              </w:t>
        <w:tab/>
        <w:t xml:space="preserve">World Language Curriculum Coordinator, 6-12 </w:t>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color w:val="1155cc"/>
          <w:sz w:val="16"/>
          <w:szCs w:val="16"/>
        </w:rPr>
      </w:pPr>
      <w:r w:rsidDel="00000000" w:rsidR="00000000" w:rsidRPr="00000000">
        <w:rPr>
          <w:rFonts w:ascii="Arial" w:cs="Arial" w:eastAsia="Arial" w:hAnsi="Arial"/>
          <w:sz w:val="17.999998728434246"/>
          <w:szCs w:val="17.999998728434246"/>
          <w:vertAlign w:val="superscript"/>
          <w:rtl w:val="0"/>
        </w:rPr>
        <w:t xml:space="preserve">1 </w:t>
      </w:r>
      <w:r w:rsidDel="00000000" w:rsidR="00000000" w:rsidRPr="00000000">
        <w:rPr>
          <w:rFonts w:ascii="Arial" w:cs="Arial" w:eastAsia="Arial" w:hAnsi="Arial"/>
          <w:sz w:val="16"/>
          <w:szCs w:val="16"/>
          <w:rtl w:val="0"/>
        </w:rPr>
        <w:t xml:space="preserve">The Seal of Biliteracy is part of the LOOK Act. The LOOK Act was signed into law by Governor Baker on November 22, 2017; </w:t>
      </w:r>
      <w:r w:rsidDel="00000000" w:rsidR="00000000" w:rsidRPr="00000000">
        <w:rPr>
          <w:rFonts w:ascii="Arial" w:cs="Arial" w:eastAsia="Arial" w:hAnsi="Arial"/>
          <w:color w:val="1155cc"/>
          <w:sz w:val="16"/>
          <w:szCs w:val="16"/>
          <w:rtl w:val="0"/>
        </w:rPr>
        <w:t xml:space="preserve">http://www.doe.mass.edu/lawsregs/603cmr31.html?section=07</w:t>
      </w:r>
    </w:p>
    <w:p w:rsidR="00000000" w:rsidDel="00000000" w:rsidP="00000000" w:rsidRDefault="00000000" w:rsidRPr="00000000" w14:paraId="00000016">
      <w:pPr>
        <w:widowControl w:val="0"/>
        <w:spacing w:before="9.26361083984375" w:line="240.2820110321045" w:lineRule="auto"/>
        <w:ind w:left="12.880020141601562" w:right="439.781494140625" w:firstLine="0.2519989013671875"/>
        <w:rPr>
          <w:rFonts w:ascii="Times New Roman" w:cs="Times New Roman" w:eastAsia="Times New Roman" w:hAnsi="Times New Roman"/>
        </w:rPr>
      </w:pPr>
      <w:r w:rsidDel="00000000" w:rsidR="00000000" w:rsidRPr="00000000">
        <w:rPr>
          <w:rFonts w:ascii="Arial" w:cs="Arial" w:eastAsia="Arial" w:hAnsi="Arial"/>
          <w:sz w:val="17.999998728434246"/>
          <w:szCs w:val="17.999998728434246"/>
          <w:vertAlign w:val="superscript"/>
          <w:rtl w:val="0"/>
        </w:rPr>
        <w:t xml:space="preserve">2 </w:t>
      </w:r>
      <w:r w:rsidDel="00000000" w:rsidR="00000000" w:rsidRPr="00000000">
        <w:rPr>
          <w:rFonts w:ascii="Arial" w:cs="Arial" w:eastAsia="Arial" w:hAnsi="Arial"/>
          <w:sz w:val="16"/>
          <w:szCs w:val="16"/>
          <w:rtl w:val="0"/>
        </w:rPr>
        <w:t xml:space="preserve">Proficiency is defined as the ability to function in a language at a high degree of competence. Literacy may take different forms depending upon the language. For example, literacy in spoken languages includes the ability to listen, speak, read, and write in the partner language. Literacy in Latin includes the ability to read and interpret Latin.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1080" w:left="990" w:right="630" w:header="72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ser London"/>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color="a5a5a5"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Book Antiqua" w:cs="Book Antiqua" w:eastAsia="Book Antiqua" w:hAnsi="Book Antiqua"/>
        <w:i w:val="0"/>
        <w:smallCaps w:val="0"/>
        <w:strike w:val="0"/>
        <w:color w:val="7f7f7f"/>
        <w:sz w:val="22"/>
        <w:szCs w:val="22"/>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SHAPING THE FUTURE ONE CHILD AT A TIME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Heading1"/>
      <w:tabs>
        <w:tab w:val="right" w:leader="none" w:pos="10620"/>
      </w:tabs>
      <w:ind w:left="-270" w:firstLine="0"/>
      <w:jc w:val="left"/>
      <w:rPr>
        <w:rFonts w:ascii="Palatino" w:cs="Palatino" w:eastAsia="Palatino" w:hAnsi="Palatino"/>
        <w:sz w:val="18"/>
        <w:szCs w:val="18"/>
      </w:rPr>
    </w:pPr>
    <w:bookmarkStart w:colFirst="0" w:colLast="0" w:name="_gjdgxs" w:id="0"/>
    <w:bookmarkEnd w:id="0"/>
    <w:r w:rsidDel="00000000" w:rsidR="00000000" w:rsidRPr="00000000">
      <w:rPr>
        <w:rFonts w:ascii="Palatino" w:cs="Palatino" w:eastAsia="Palatino" w:hAnsi="Palatino"/>
        <w:b w:val="1"/>
        <w:sz w:val="18"/>
        <w:szCs w:val="18"/>
        <w:rtl w:val="0"/>
      </w:rPr>
      <w:t xml:space="preserve">CHRISTOPHER CHEW, Ed.D.</w:t>
    </w:r>
    <w:r w:rsidDel="00000000" w:rsidR="00000000" w:rsidRPr="00000000">
      <w:rPr>
        <w:rFonts w:ascii="Palatino" w:cs="Palatino" w:eastAsia="Palatino" w:hAnsi="Palatino"/>
        <w:sz w:val="18"/>
        <w:szCs w:val="18"/>
        <w:rtl w:val="0"/>
      </w:rPr>
      <w:tab/>
      <w:t xml:space="preserve">GERARD COUGHLIN, M.Ed.</w:t>
    </w:r>
    <w:r w:rsidDel="00000000" w:rsidR="00000000" w:rsidRPr="00000000">
      <w:drawing>
        <wp:anchor allowOverlap="1" behindDoc="0" distB="0" distT="0" distL="114300" distR="114300" hidden="0" layoutInCell="1" locked="0" relativeHeight="0" simplePos="0">
          <wp:simplePos x="0" y="0"/>
          <wp:positionH relativeFrom="column">
            <wp:posOffset>2552700</wp:posOffset>
          </wp:positionH>
          <wp:positionV relativeFrom="paragraph">
            <wp:posOffset>-19049</wp:posOffset>
          </wp:positionV>
          <wp:extent cx="1208405" cy="119634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8405" cy="1196340"/>
                  </a:xfrm>
                  <a:prstGeom prst="rect"/>
                  <a:ln/>
                </pic:spPr>
              </pic:pic>
            </a:graphicData>
          </a:graphic>
        </wp:anchor>
      </w:draw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0890"/>
      </w:tabs>
      <w:spacing w:after="0" w:before="0" w:line="240" w:lineRule="auto"/>
      <w:ind w:left="-270" w:right="0" w:firstLine="0"/>
      <w:jc w:val="left"/>
      <w:rPr>
        <w:rFonts w:ascii="Palatino" w:cs="Palatino" w:eastAsia="Palatino" w:hAnsi="Palatino"/>
        <w:b w:val="0"/>
        <w:i w:val="0"/>
        <w:smallCaps w:val="0"/>
        <w:strike w:val="0"/>
        <w:color w:val="000000"/>
        <w:sz w:val="18"/>
        <w:szCs w:val="18"/>
        <w:u w:val="none"/>
        <w:shd w:fill="auto" w:val="clear"/>
        <w:vertAlign w:val="baseline"/>
      </w:rPr>
    </w:pPr>
    <w:r w:rsidDel="00000000" w:rsidR="00000000" w:rsidRPr="00000000">
      <w:rPr>
        <w:rFonts w:ascii="Palatino" w:cs="Palatino" w:eastAsia="Palatino" w:hAnsi="Palatino"/>
        <w:b w:val="1"/>
        <w:i w:val="0"/>
        <w:smallCaps w:val="0"/>
        <w:strike w:val="0"/>
        <w:color w:val="000000"/>
        <w:sz w:val="18"/>
        <w:szCs w:val="18"/>
        <w:u w:val="none"/>
        <w:shd w:fill="auto" w:val="clear"/>
        <w:vertAlign w:val="baseline"/>
        <w:rtl w:val="0"/>
      </w:rPr>
      <w:t xml:space="preserve">Superintendent of Schools</w:t>
      <w:tab/>
      <w:t xml:space="preserve"> </w:t>
    </w:r>
    <w:r w:rsidDel="00000000" w:rsidR="00000000" w:rsidRPr="00000000">
      <w:rPr>
        <w:rFonts w:ascii="Palatino" w:cs="Palatino" w:eastAsia="Palatino" w:hAnsi="Palatino"/>
        <w:b w:val="0"/>
        <w:i w:val="0"/>
        <w:smallCaps w:val="0"/>
        <w:strike w:val="0"/>
        <w:color w:val="000000"/>
        <w:sz w:val="18"/>
        <w:szCs w:val="18"/>
        <w:u w:val="none"/>
        <w:shd w:fill="auto" w:val="clear"/>
        <w:vertAlign w:val="baseline"/>
        <w:rtl w:val="0"/>
      </w:rPr>
      <w:t xml:space="preserve">                                                                                     Director </w:t>
    </w:r>
    <w:r w:rsidDel="00000000" w:rsidR="00000000" w:rsidRPr="00000000">
      <w:rPr>
        <w:rFonts w:ascii="Palatino" w:cs="Palatino" w:eastAsia="Palatino" w:hAnsi="Palatino"/>
        <w:sz w:val="18"/>
        <w:szCs w:val="18"/>
        <w:rtl w:val="0"/>
      </w:rPr>
      <w:t xml:space="preserve">of Special Education &amp;  Social Emotional Learning</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0260"/>
      </w:tabs>
      <w:spacing w:after="0" w:before="0" w:line="240" w:lineRule="auto"/>
      <w:ind w:left="-270" w:right="0" w:firstLine="0"/>
      <w:jc w:val="left"/>
      <w:rPr>
        <w:rFonts w:ascii="Palatino" w:cs="Palatino" w:eastAsia="Palatino" w:hAnsi="Palatin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10620"/>
      </w:tabs>
      <w:spacing w:after="0" w:before="0" w:line="240" w:lineRule="auto"/>
      <w:ind w:left="-270" w:right="0" w:firstLine="0"/>
      <w:jc w:val="left"/>
      <w:rPr>
        <w:rFonts w:ascii="Palatino" w:cs="Palatino" w:eastAsia="Palatino" w:hAnsi="Palatino"/>
        <w:b w:val="0"/>
        <w:i w:val="0"/>
        <w:smallCaps w:val="0"/>
        <w:strike w:val="0"/>
        <w:color w:val="000000"/>
        <w:sz w:val="18"/>
        <w:szCs w:val="18"/>
        <w:u w:val="none"/>
        <w:shd w:fill="auto" w:val="clear"/>
        <w:vertAlign w:val="baseline"/>
      </w:rPr>
    </w:pPr>
    <w:r w:rsidDel="00000000" w:rsidR="00000000" w:rsidRPr="00000000">
      <w:rPr>
        <w:rFonts w:ascii="Palatino" w:cs="Palatino" w:eastAsia="Palatino" w:hAnsi="Palatino"/>
        <w:b w:val="1"/>
        <w:sz w:val="18"/>
        <w:szCs w:val="18"/>
        <w:rtl w:val="0"/>
      </w:rPr>
      <w:t xml:space="preserve">COURTNEY L. MORAN, M.Ed.</w:t>
    </w:r>
    <w:r w:rsidDel="00000000" w:rsidR="00000000" w:rsidRPr="00000000">
      <w:rPr>
        <w:rFonts w:ascii="Palatino" w:cs="Palatino" w:eastAsia="Palatino" w:hAnsi="Palatino"/>
        <w:b w:val="0"/>
        <w:i w:val="0"/>
        <w:smallCaps w:val="0"/>
        <w:strike w:val="0"/>
        <w:color w:val="000000"/>
        <w:sz w:val="18"/>
        <w:szCs w:val="18"/>
        <w:u w:val="none"/>
        <w:shd w:fill="auto" w:val="clear"/>
        <w:vertAlign w:val="baseline"/>
        <w:rtl w:val="0"/>
      </w:rPr>
      <w:tab/>
      <w:tab/>
    </w:r>
    <w:r w:rsidDel="00000000" w:rsidR="00000000" w:rsidRPr="00000000">
      <w:rPr>
        <w:rFonts w:ascii="Palatino" w:cs="Palatino" w:eastAsia="Palatino" w:hAnsi="Palatino"/>
        <w:sz w:val="18"/>
        <w:szCs w:val="18"/>
        <w:rtl w:val="0"/>
      </w:rPr>
      <w:t xml:space="preserve">           MAGALY RODRIGUEZ RONAN, M.Ed.</w:t>
    </w:r>
    <w:r w:rsidDel="00000000" w:rsidR="00000000" w:rsidRPr="00000000">
      <w:rPr>
        <w:rFonts w:ascii="Palatino" w:cs="Palatino" w:eastAsia="Palatino" w:hAnsi="Palatino"/>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B">
    <w:pPr>
      <w:tabs>
        <w:tab w:val="right" w:leader="none" w:pos="10620"/>
      </w:tabs>
      <w:ind w:left="-270" w:firstLine="0"/>
      <w:rPr>
        <w:rFonts w:ascii="Palatino" w:cs="Palatino" w:eastAsia="Palatino" w:hAnsi="Palatino"/>
        <w:sz w:val="18"/>
        <w:szCs w:val="18"/>
      </w:rPr>
    </w:pPr>
    <w:r w:rsidDel="00000000" w:rsidR="00000000" w:rsidRPr="00000000">
      <w:rPr>
        <w:rFonts w:ascii="Palatino" w:cs="Palatino" w:eastAsia="Palatino" w:hAnsi="Palatino"/>
        <w:b w:val="1"/>
        <w:sz w:val="18"/>
        <w:szCs w:val="18"/>
        <w:rtl w:val="0"/>
      </w:rPr>
      <w:t xml:space="preserve">Assistant Superintendent</w:t>
    </w:r>
    <w:r w:rsidDel="00000000" w:rsidR="00000000" w:rsidRPr="00000000">
      <w:rPr>
        <w:rFonts w:ascii="Palatino" w:cs="Palatino" w:eastAsia="Palatino" w:hAnsi="Palatino"/>
        <w:sz w:val="18"/>
        <w:szCs w:val="18"/>
        <w:rtl w:val="0"/>
      </w:rPr>
      <w:t xml:space="preserve"> </w:t>
      <w:tab/>
      <w:t xml:space="preserve">Director of Equity, Curriculum, &amp; Instruction</w:t>
    </w:r>
  </w:p>
  <w:p w:rsidR="00000000" w:rsidDel="00000000" w:rsidP="00000000" w:rsidRDefault="00000000" w:rsidRPr="00000000" w14:paraId="0000001C">
    <w:pPr>
      <w:tabs>
        <w:tab w:val="right" w:leader="none" w:pos="10620"/>
      </w:tabs>
      <w:ind w:left="-270" w:firstLine="0"/>
      <w:rPr>
        <w:rFonts w:ascii="Palatino" w:cs="Palatino" w:eastAsia="Palatino" w:hAnsi="Palatino"/>
        <w:sz w:val="18"/>
        <w:szCs w:val="18"/>
      </w:rPr>
    </w:pPr>
    <w:r w:rsidDel="00000000" w:rsidR="00000000" w:rsidRPr="00000000">
      <w:rPr>
        <w:rtl w:val="0"/>
      </w:rPr>
    </w:r>
  </w:p>
  <w:p w:rsidR="00000000" w:rsidDel="00000000" w:rsidP="00000000" w:rsidRDefault="00000000" w:rsidRPr="00000000" w14:paraId="0000001D">
    <w:pPr>
      <w:tabs>
        <w:tab w:val="right" w:leader="none" w:pos="10620"/>
      </w:tabs>
      <w:ind w:left="-270" w:firstLine="0"/>
      <w:rPr>
        <w:rFonts w:ascii="Palatino" w:cs="Palatino" w:eastAsia="Palatino" w:hAnsi="Palatino"/>
        <w:sz w:val="18"/>
        <w:szCs w:val="18"/>
      </w:rPr>
    </w:pPr>
    <w:r w:rsidDel="00000000" w:rsidR="00000000" w:rsidRPr="00000000">
      <w:rPr>
        <w:rFonts w:ascii="Palatino" w:cs="Palatino" w:eastAsia="Palatino" w:hAnsi="Palatino"/>
        <w:sz w:val="18"/>
        <w:szCs w:val="18"/>
        <w:rtl w:val="0"/>
      </w:rPr>
      <w:tab/>
      <w:t xml:space="preserve">JENNY LIN, CPA</w:t>
    </w:r>
  </w:p>
  <w:p w:rsidR="00000000" w:rsidDel="00000000" w:rsidP="00000000" w:rsidRDefault="00000000" w:rsidRPr="00000000" w14:paraId="0000001E">
    <w:pPr>
      <w:ind w:right="0"/>
      <w:jc w:val="right"/>
      <w:rPr>
        <w:rFonts w:ascii="Palatino" w:cs="Palatino" w:eastAsia="Palatino" w:hAnsi="Palatino"/>
        <w:sz w:val="18"/>
        <w:szCs w:val="18"/>
      </w:rPr>
    </w:pPr>
    <w:r w:rsidDel="00000000" w:rsidR="00000000" w:rsidRPr="00000000">
      <w:rPr>
        <w:rFonts w:ascii="Palatino" w:cs="Palatino" w:eastAsia="Palatino" w:hAnsi="Palatino"/>
        <w:sz w:val="18"/>
        <w:szCs w:val="18"/>
        <w:rtl w:val="0"/>
      </w:rPr>
      <w:t xml:space="preserve">        </w:t>
      <w:tab/>
      <w:tab/>
      <w:tab/>
      <w:tab/>
      <w:t xml:space="preserve">                                   </w:t>
      <w:tab/>
      <w:t xml:space="preserve">                                 </w:t>
      <w:tab/>
      <w:tab/>
      <w:t xml:space="preserve">Director of School Finance</w:t>
    </w:r>
  </w:p>
  <w:p w:rsidR="00000000" w:rsidDel="00000000" w:rsidP="00000000" w:rsidRDefault="00000000" w:rsidRPr="00000000" w14:paraId="0000001F">
    <w:pPr>
      <w:tabs>
        <w:tab w:val="right" w:leader="none" w:pos="10620"/>
      </w:tabs>
      <w:ind w:left="-270" w:firstLine="0"/>
      <w:rPr>
        <w:rFonts w:ascii="Palatino" w:cs="Palatino" w:eastAsia="Palatino" w:hAnsi="Palatino"/>
        <w:sz w:val="18"/>
        <w:szCs w:val="18"/>
      </w:rPr>
    </w:pPr>
    <w:r w:rsidDel="00000000" w:rsidR="00000000" w:rsidRPr="00000000">
      <w:rPr>
        <w:rtl w:val="0"/>
      </w:rPr>
    </w:r>
  </w:p>
  <w:p w:rsidR="00000000" w:rsidDel="00000000" w:rsidP="00000000" w:rsidRDefault="00000000" w:rsidRPr="00000000" w14:paraId="00000020">
    <w:pPr>
      <w:tabs>
        <w:tab w:val="right" w:leader="none" w:pos="10620"/>
      </w:tabs>
      <w:ind w:left="-270" w:firstLine="0"/>
      <w:rPr>
        <w:rFonts w:ascii="Palatino" w:cs="Palatino" w:eastAsia="Palatino" w:hAnsi="Palatino"/>
        <w:sz w:val="18"/>
        <w:szCs w:val="18"/>
      </w:rPr>
    </w:pPr>
    <w:r w:rsidDel="00000000" w:rsidR="00000000" w:rsidRPr="00000000">
      <w:rPr>
        <w:rtl w:val="0"/>
      </w:rPr>
    </w:r>
  </w:p>
  <w:p w:rsidR="00000000" w:rsidDel="00000000" w:rsidP="00000000" w:rsidRDefault="00000000" w:rsidRPr="00000000" w14:paraId="00000021">
    <w:pPr>
      <w:pStyle w:val="Heading1"/>
      <w:ind w:left="-270" w:right="540" w:firstLine="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Westford Public Schools</w:t>
    </w:r>
  </w:p>
  <w:p w:rsidR="00000000" w:rsidDel="00000000" w:rsidP="00000000" w:rsidRDefault="00000000" w:rsidRPr="00000000" w14:paraId="00000022">
    <w:pPr>
      <w:pStyle w:val="Heading2"/>
      <w:spacing w:after="0" w:lineRule="auto"/>
      <w:ind w:left="-270" w:right="540" w:firstLine="0"/>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Administrative Offices</w:t>
    </w:r>
  </w:p>
  <w:p w:rsidR="00000000" w:rsidDel="00000000" w:rsidP="00000000" w:rsidRDefault="00000000" w:rsidRPr="00000000" w14:paraId="00000023">
    <w:pPr>
      <w:widowControl w:val="0"/>
      <w:ind w:left="-270" w:right="540" w:firstLine="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23 Depot St.  •  Westford, Massachusetts 01886</w:t>
    </w:r>
  </w:p>
  <w:p w:rsidR="00000000" w:rsidDel="00000000" w:rsidP="00000000" w:rsidRDefault="00000000" w:rsidRPr="00000000" w14:paraId="00000024">
    <w:pPr>
      <w:widowControl w:val="0"/>
      <w:ind w:left="-270" w:right="54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www.westfordk12.us  •  (978) 692-5560   •   FAX (978) 392-4497</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Laser London" w:cs="Laser London" w:eastAsia="Laser London" w:hAnsi="Laser London"/>
      <w:sz w:val="48"/>
      <w:szCs w:val="48"/>
    </w:rPr>
  </w:style>
  <w:style w:type="paragraph" w:styleId="Heading2">
    <w:name w:val="heading 2"/>
    <w:basedOn w:val="Normal"/>
    <w:next w:val="Normal"/>
    <w:pPr>
      <w:keepNext w:val="1"/>
      <w:widowControl w:val="0"/>
      <w:spacing w:after="20" w:lineRule="auto"/>
      <w:jc w:val="center"/>
    </w:pPr>
    <w:rPr>
      <w:rFonts w:ascii="Merriweather Sans" w:cs="Merriweather Sans" w:eastAsia="Merriweather Sans" w:hAnsi="Merriweather Sans"/>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document/d/1-yWlnDObQKEF5k6-o5ntS4j1epaGYNdBHkipRX3zK7Y/edit?usp=sharing" TargetMode="External"/><Relationship Id="rId7" Type="http://schemas.openxmlformats.org/officeDocument/2006/relationships/hyperlink" Target="https://www.westfordk12.us/wa/world-language-departmen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